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360" w:lineRule="auto"/>
        <w:jc w:val="center"/>
        <w:rPr>
          <w:rFonts w:hint="eastAsia" w:cs="仿宋" w:asciiTheme="majorEastAsia" w:hAnsiTheme="majorEastAsia" w:eastAsiaTheme="majorEastAsia"/>
          <w:b/>
          <w:bCs/>
          <w:sz w:val="40"/>
          <w:szCs w:val="40"/>
          <w:lang w:val="en-US" w:eastAsia="zh-CN"/>
        </w:rPr>
      </w:pPr>
      <w:r>
        <w:rPr>
          <w:rFonts w:hint="eastAsia" w:cs="仿宋" w:asciiTheme="majorEastAsia" w:hAnsiTheme="majorEastAsia" w:eastAsiaTheme="majorEastAsia"/>
          <w:b/>
          <w:bCs/>
          <w:sz w:val="40"/>
          <w:szCs w:val="40"/>
          <w:lang w:val="en-US" w:eastAsia="zh-CN"/>
        </w:rPr>
        <w:t>珠宝学院2021年</w:t>
      </w:r>
    </w:p>
    <w:p>
      <w:pPr>
        <w:adjustRightInd/>
        <w:snapToGrid/>
        <w:spacing w:line="360" w:lineRule="auto"/>
        <w:jc w:val="center"/>
        <w:rPr>
          <w:rFonts w:hint="eastAsia" w:cs="仿宋" w:asciiTheme="majorEastAsia" w:hAnsiTheme="majorEastAsia" w:eastAsiaTheme="majorEastAsia"/>
          <w:b/>
          <w:bCs/>
          <w:sz w:val="40"/>
          <w:szCs w:val="40"/>
        </w:rPr>
      </w:pPr>
      <w:r>
        <w:rPr>
          <w:rFonts w:hint="eastAsia" w:cs="仿宋" w:asciiTheme="majorEastAsia" w:hAnsiTheme="majorEastAsia" w:eastAsiaTheme="majorEastAsia"/>
          <w:b/>
          <w:bCs/>
          <w:sz w:val="40"/>
          <w:szCs w:val="40"/>
          <w:lang w:val="en-US"/>
        </w:rPr>
        <w:t>本科生国家励志奖学金</w:t>
      </w:r>
      <w:r>
        <w:rPr>
          <w:rFonts w:hint="eastAsia" w:cs="仿宋" w:asciiTheme="majorEastAsia" w:hAnsiTheme="majorEastAsia" w:eastAsiaTheme="majorEastAsia"/>
          <w:b/>
          <w:bCs/>
          <w:sz w:val="40"/>
          <w:szCs w:val="40"/>
          <w:lang w:val="en-US" w:eastAsia="zh-CN"/>
        </w:rPr>
        <w:t>评审细则</w:t>
      </w:r>
    </w:p>
    <w:p>
      <w:pPr>
        <w:adjustRightInd/>
        <w:snapToGrid/>
        <w:spacing w:line="360" w:lineRule="auto"/>
        <w:jc w:val="center"/>
        <w:rPr>
          <w:rFonts w:hint="eastAsia" w:asciiTheme="minorEastAsia" w:hAnsiTheme="minorEastAsia" w:eastAsiaTheme="minorEastAsia" w:cstheme="minorEastAsia"/>
          <w:b/>
          <w:sz w:val="28"/>
        </w:rPr>
      </w:pPr>
      <w:r>
        <w:rPr>
          <w:rFonts w:hint="eastAsia" w:asciiTheme="minorEastAsia" w:hAnsiTheme="minorEastAsia" w:eastAsiaTheme="minorEastAsia" w:cstheme="minorEastAsia"/>
          <w:b/>
          <w:sz w:val="28"/>
        </w:rPr>
        <w:t>第一章  总  则</w:t>
      </w:r>
    </w:p>
    <w:p>
      <w:pPr>
        <w:adjustRightInd/>
        <w:snapToGrid/>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为进一步规范珠宝学院本科生国家励志奖学金评审工作，激励我院家庭经济困难学生勤奋学习、努力进取，德、智、体、美、劳全面发展，根据《中国地质大学</w:t>
      </w:r>
      <w:r>
        <w:rPr>
          <w:rFonts w:hint="default"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lang w:val="en-US" w:eastAsia="zh-CN"/>
        </w:rPr>
        <w:t>北京</w:t>
      </w:r>
      <w:r>
        <w:rPr>
          <w:rFonts w:hint="default"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lang w:val="en-US" w:eastAsia="zh-CN"/>
        </w:rPr>
        <w:t>本科生国家励志奖学金管理实施办法》（2020年9月修订）的文件精神，结合我院实际情况，制定本细则。</w:t>
      </w:r>
    </w:p>
    <w:p>
      <w:pPr>
        <w:adjustRightInd/>
        <w:snapToGrid/>
        <w:spacing w:line="360" w:lineRule="auto"/>
        <w:jc w:val="center"/>
        <w:rPr>
          <w:rFonts w:hint="eastAsia" w:asciiTheme="minorEastAsia" w:hAnsiTheme="minorEastAsia" w:eastAsiaTheme="minorEastAsia" w:cstheme="minorEastAsia"/>
          <w:b/>
          <w:sz w:val="28"/>
          <w:lang w:eastAsia="zh-CN"/>
        </w:rPr>
      </w:pPr>
      <w:r>
        <w:rPr>
          <w:rFonts w:hint="eastAsia" w:asciiTheme="minorEastAsia" w:hAnsiTheme="minorEastAsia" w:eastAsiaTheme="minorEastAsia" w:cstheme="minorEastAsia"/>
          <w:b/>
          <w:sz w:val="28"/>
        </w:rPr>
        <w:t xml:space="preserve">第二章  </w:t>
      </w:r>
      <w:r>
        <w:rPr>
          <w:rFonts w:hint="eastAsia" w:asciiTheme="minorEastAsia" w:hAnsiTheme="minorEastAsia" w:eastAsiaTheme="minorEastAsia" w:cstheme="minorEastAsia"/>
          <w:b/>
          <w:sz w:val="28"/>
          <w:lang w:eastAsia="zh-CN"/>
        </w:rPr>
        <w:t>参评对象、</w:t>
      </w:r>
      <w:r>
        <w:rPr>
          <w:rFonts w:hint="eastAsia" w:asciiTheme="minorEastAsia" w:hAnsiTheme="minorEastAsia" w:eastAsiaTheme="minorEastAsia" w:cstheme="minorEastAsia"/>
          <w:b/>
          <w:sz w:val="28"/>
        </w:rPr>
        <w:t>奖励标准</w:t>
      </w:r>
      <w:r>
        <w:rPr>
          <w:rFonts w:hint="eastAsia" w:asciiTheme="minorEastAsia" w:hAnsiTheme="minorEastAsia" w:eastAsiaTheme="minorEastAsia" w:cstheme="minorEastAsia"/>
          <w:b/>
          <w:sz w:val="28"/>
          <w:lang w:eastAsia="zh-CN"/>
        </w:rPr>
        <w:t>及名额分配方案</w:t>
      </w:r>
    </w:p>
    <w:p>
      <w:pPr>
        <w:adjustRightInd/>
        <w:snapToGrid/>
        <w:spacing w:line="360" w:lineRule="auto"/>
        <w:ind w:firstLine="482"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b/>
          <w:bCs/>
          <w:sz w:val="24"/>
        </w:rPr>
        <w:t>第</w:t>
      </w:r>
      <w:r>
        <w:rPr>
          <w:rFonts w:hint="eastAsia" w:asciiTheme="minorEastAsia" w:hAnsiTheme="minorEastAsia" w:eastAsiaTheme="minorEastAsia" w:cstheme="minorEastAsia"/>
          <w:b/>
          <w:bCs/>
          <w:sz w:val="24"/>
          <w:lang w:eastAsia="zh-CN"/>
        </w:rPr>
        <w:t>一</w:t>
      </w:r>
      <w:r>
        <w:rPr>
          <w:rFonts w:hint="eastAsia" w:asciiTheme="minorEastAsia" w:hAnsiTheme="minorEastAsia" w:eastAsiaTheme="minorEastAsia" w:cstheme="minorEastAsia"/>
          <w:b/>
          <w:bCs/>
          <w:sz w:val="24"/>
        </w:rPr>
        <w:t>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lang w:eastAsia="zh-CN"/>
        </w:rPr>
        <w:t>参评对象</w:t>
      </w:r>
      <w:r>
        <w:rPr>
          <w:rFonts w:hint="default" w:asciiTheme="minorEastAsia" w:hAnsiTheme="minorEastAsia" w:eastAsiaTheme="minorEastAsia" w:cstheme="minorEastAsia"/>
          <w:b/>
          <w:bCs/>
          <w:sz w:val="24"/>
          <w:lang w:val="en-US" w:eastAsia="zh-CN"/>
        </w:rPr>
        <w:t>:</w:t>
      </w:r>
      <w:r>
        <w:rPr>
          <w:rFonts w:hint="eastAsia" w:asciiTheme="minorEastAsia" w:hAnsiTheme="minorEastAsia" w:eastAsiaTheme="minorEastAsia" w:cstheme="minorEastAsia"/>
          <w:sz w:val="24"/>
          <w:lang w:val="en-US" w:eastAsia="zh-CN"/>
        </w:rPr>
        <w:t>本科生国家励志奖学金用于奖励资助我校全日制本科生（含第二学士学位）中品学兼优的家庭经济困难学生。</w:t>
      </w:r>
    </w:p>
    <w:p>
      <w:pPr>
        <w:adjustRightInd/>
        <w:snapToGrid/>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第</w:t>
      </w:r>
      <w:r>
        <w:rPr>
          <w:rFonts w:hint="eastAsia" w:asciiTheme="minorEastAsia" w:hAnsiTheme="minorEastAsia" w:eastAsiaTheme="minorEastAsia" w:cstheme="minorEastAsia"/>
          <w:b/>
          <w:bCs/>
          <w:sz w:val="24"/>
          <w:lang w:eastAsia="zh-CN"/>
        </w:rPr>
        <w:t>二</w:t>
      </w:r>
      <w:r>
        <w:rPr>
          <w:rFonts w:hint="eastAsia" w:asciiTheme="minorEastAsia" w:hAnsiTheme="minorEastAsia" w:eastAsiaTheme="minorEastAsia" w:cstheme="minorEastAsia"/>
          <w:b/>
          <w:bCs/>
          <w:sz w:val="24"/>
        </w:rPr>
        <w:t>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lang w:eastAsia="zh-CN"/>
        </w:rPr>
        <w:t>奖励标准</w:t>
      </w:r>
      <w:r>
        <w:rPr>
          <w:rFonts w:hint="default" w:asciiTheme="minorEastAsia" w:hAnsiTheme="minorEastAsia" w:eastAsiaTheme="minorEastAsia" w:cstheme="minorEastAsia"/>
          <w:b/>
          <w:bCs/>
          <w:sz w:val="24"/>
          <w:lang w:val="en-US" w:eastAsia="zh-CN"/>
        </w:rPr>
        <w:t>:</w:t>
      </w:r>
      <w:r>
        <w:rPr>
          <w:rFonts w:hint="eastAsia" w:asciiTheme="minorEastAsia" w:hAnsiTheme="minorEastAsia" w:eastAsiaTheme="minorEastAsia" w:cstheme="minorEastAsia"/>
          <w:sz w:val="24"/>
        </w:rPr>
        <w:t>本科生国家励志奖学金的奖励标准为每生每年 5000 元。</w:t>
      </w:r>
    </w:p>
    <w:p>
      <w:pPr>
        <w:adjustRightInd/>
        <w:snapToGrid/>
        <w:spacing w:line="360" w:lineRule="auto"/>
        <w:ind w:firstLine="482" w:firstLineChars="200"/>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b/>
          <w:bCs/>
          <w:sz w:val="24"/>
          <w:lang w:eastAsia="zh-CN"/>
        </w:rPr>
        <w:t>第三条</w:t>
      </w:r>
      <w:r>
        <w:rPr>
          <w:rFonts w:hint="eastAsia" w:asciiTheme="minorEastAsia" w:hAnsiTheme="minorEastAsia" w:eastAsiaTheme="minorEastAsia" w:cstheme="minorEastAsia"/>
          <w:b/>
          <w:bCs/>
          <w:sz w:val="24"/>
          <w:lang w:val="en-US" w:eastAsia="zh-CN"/>
        </w:rPr>
        <w:t xml:space="preserve">  名额分配方案</w:t>
      </w:r>
      <w:r>
        <w:rPr>
          <w:rFonts w:hint="default" w:asciiTheme="minorEastAsia" w:hAnsiTheme="minorEastAsia" w:eastAsiaTheme="minorEastAsia" w:cstheme="minorEastAsia"/>
          <w:b/>
          <w:bCs/>
          <w:sz w:val="24"/>
          <w:highlight w:val="none"/>
          <w:lang w:val="en-US" w:eastAsia="zh-CN"/>
        </w:rPr>
        <w:t>:</w:t>
      </w:r>
      <w:r>
        <w:rPr>
          <w:rFonts w:hint="eastAsia" w:asciiTheme="minorEastAsia" w:hAnsiTheme="minorEastAsia" w:eastAsiaTheme="minorEastAsia" w:cstheme="minorEastAsia"/>
          <w:sz w:val="24"/>
          <w:highlight w:val="none"/>
        </w:rPr>
        <w:t>根据</w:t>
      </w:r>
      <w:r>
        <w:rPr>
          <w:rFonts w:hint="eastAsia" w:asciiTheme="minorEastAsia" w:hAnsiTheme="minorEastAsia" w:eastAsiaTheme="minorEastAsia" w:cstheme="minorEastAsia"/>
          <w:sz w:val="24"/>
          <w:highlight w:val="none"/>
          <w:lang w:eastAsia="zh-CN"/>
        </w:rPr>
        <w:t>学校下分名额进一步分配</w:t>
      </w:r>
      <w:r>
        <w:rPr>
          <w:rFonts w:hint="eastAsia" w:asciiTheme="minorEastAsia" w:hAnsiTheme="minorEastAsia" w:eastAsiaTheme="minorEastAsia" w:cstheme="minorEastAsia"/>
          <w:sz w:val="24"/>
          <w:highlight w:val="none"/>
          <w:lang w:val="en-US" w:eastAsia="zh-CN"/>
        </w:rPr>
        <w:t xml:space="preserve">。 </w:t>
      </w:r>
    </w:p>
    <w:p>
      <w:pPr>
        <w:adjustRightInd/>
        <w:snapToGrid/>
        <w:spacing w:line="360" w:lineRule="auto"/>
        <w:jc w:val="center"/>
        <w:rPr>
          <w:rFonts w:hint="eastAsia" w:asciiTheme="minorEastAsia" w:hAnsiTheme="minorEastAsia" w:eastAsiaTheme="minorEastAsia" w:cstheme="minorEastAsia"/>
          <w:b/>
          <w:sz w:val="28"/>
        </w:rPr>
      </w:pPr>
      <w:r>
        <w:rPr>
          <w:rFonts w:hint="eastAsia" w:asciiTheme="minorEastAsia" w:hAnsiTheme="minorEastAsia" w:eastAsiaTheme="minorEastAsia" w:cstheme="minorEastAsia"/>
          <w:b/>
          <w:sz w:val="28"/>
          <w:lang w:eastAsia="zh-CN"/>
        </w:rPr>
        <w:t xml:space="preserve">第三章  </w:t>
      </w:r>
      <w:r>
        <w:rPr>
          <w:rFonts w:hint="eastAsia" w:asciiTheme="minorEastAsia" w:hAnsiTheme="minorEastAsia" w:eastAsiaTheme="minorEastAsia" w:cstheme="minorEastAsia"/>
          <w:b/>
          <w:sz w:val="28"/>
        </w:rPr>
        <w:t>申请条件</w:t>
      </w:r>
    </w:p>
    <w:p>
      <w:pPr>
        <w:adjustRightInd/>
        <w:snapToGrid/>
        <w:spacing w:line="360" w:lineRule="auto"/>
        <w:ind w:firstLine="482" w:firstLineChars="200"/>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lang w:eastAsia="zh-CN"/>
        </w:rPr>
        <w:t>第四条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lang w:eastAsia="zh-CN"/>
        </w:rPr>
        <w:t>本科生国家励志奖学金的基本申请条件：</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（一）具有中华人民共和国国籍；</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（二）热爱社会主义祖国，拥护中国共产党的领导；</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三</w:t>
      </w:r>
      <w:r>
        <w:rPr>
          <w:rFonts w:hint="eastAsia" w:asciiTheme="minorEastAsia" w:hAnsiTheme="minorEastAsia" w:eastAsiaTheme="minorEastAsia" w:cstheme="minorEastAsia"/>
          <w:sz w:val="24"/>
        </w:rPr>
        <w:t>）遵守宪法和法律，遵守学校规章制度；</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四</w:t>
      </w:r>
      <w:r>
        <w:rPr>
          <w:rFonts w:hint="eastAsia" w:asciiTheme="minorEastAsia" w:hAnsiTheme="minorEastAsia" w:eastAsiaTheme="minorEastAsia" w:cstheme="minorEastAsia"/>
          <w:sz w:val="24"/>
        </w:rPr>
        <w:t>）诚实守信，道德品质优良；</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（五）在校期间学习成绩优秀；</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（六）家庭经济困难，生活俭朴。</w:t>
      </w:r>
    </w:p>
    <w:p>
      <w:pPr>
        <w:adjustRightInd/>
        <w:snapToGrid/>
        <w:spacing w:line="360" w:lineRule="auto"/>
        <w:ind w:firstLine="482" w:firstLineChars="200"/>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lang w:eastAsia="zh-CN"/>
        </w:rPr>
        <w:t>第五条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lang w:eastAsia="zh-CN"/>
        </w:rPr>
        <w:t>在符合基本条件的前提下，申请人还应满足以下具体条件：</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（一）年级要求：在校本科生中二年级以上（含二年级）的学生。</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（二）成绩要求：参评年度内学习成绩优秀，考试无不及格现象，综合素质测评成绩排名在本年级本专业位于前 30%（含30%）。</w:t>
      </w:r>
    </w:p>
    <w:p>
      <w:pPr>
        <w:adjustRightInd/>
        <w:snapToGrid/>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lang w:eastAsia="zh-CN"/>
        </w:rPr>
        <w:t>第六条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同一学年内，申请国家励志奖学金的学生可以同时申请并获得国家助学金，但不能同时获得国家奖学金。</w:t>
      </w:r>
    </w:p>
    <w:p>
      <w:pPr>
        <w:adjustRightInd/>
        <w:snapToGrid/>
        <w:spacing w:line="360" w:lineRule="auto"/>
        <w:jc w:val="center"/>
        <w:rPr>
          <w:rFonts w:hint="eastAsia" w:asciiTheme="minorEastAsia" w:hAnsiTheme="minorEastAsia" w:eastAsiaTheme="minorEastAsia" w:cstheme="minorEastAsia"/>
          <w:b/>
          <w:sz w:val="28"/>
          <w:lang w:eastAsia="zh-CN"/>
        </w:rPr>
      </w:pPr>
      <w:r>
        <w:rPr>
          <w:rFonts w:hint="eastAsia" w:asciiTheme="minorEastAsia" w:hAnsiTheme="minorEastAsia" w:eastAsiaTheme="minorEastAsia" w:cstheme="minorEastAsia"/>
          <w:b/>
          <w:sz w:val="28"/>
          <w:lang w:eastAsia="zh-CN"/>
        </w:rPr>
        <w:t>第四章</w:t>
      </w:r>
      <w:r>
        <w:rPr>
          <w:rFonts w:hint="eastAsia" w:asciiTheme="minorEastAsia" w:hAnsiTheme="minorEastAsia" w:eastAsiaTheme="minorEastAsia" w:cstheme="minorEastAsia"/>
          <w:b/>
          <w:sz w:val="28"/>
          <w:lang w:eastAsia="zh-CN"/>
        </w:rPr>
        <w:tab/>
      </w:r>
      <w:r>
        <w:rPr>
          <w:rFonts w:hint="eastAsia" w:asciiTheme="minorEastAsia" w:hAnsiTheme="minorEastAsia" w:eastAsiaTheme="minorEastAsia" w:cstheme="minorEastAsia"/>
          <w:b/>
          <w:sz w:val="28"/>
          <w:lang w:eastAsia="zh-CN"/>
        </w:rPr>
        <w:t>评审委员会及下设办公室</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为认真做好中国地质大学</w:t>
      </w:r>
      <w:r>
        <w:rPr>
          <w:rFonts w:hint="default"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lang w:val="en-US" w:eastAsia="zh-CN"/>
        </w:rPr>
        <w:t>北京</w:t>
      </w:r>
      <w:r>
        <w:rPr>
          <w:rFonts w:hint="default"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lang w:val="en-US" w:eastAsia="zh-CN"/>
        </w:rPr>
        <w:t>珠宝学院本科生国家励志奖学金评审工作，坚持公开、公平、公正、择优的原则，在</w:t>
      </w:r>
      <w:r>
        <w:rPr>
          <w:rFonts w:hint="eastAsia" w:asciiTheme="minorEastAsia" w:hAnsiTheme="minorEastAsia" w:eastAsiaTheme="minorEastAsia" w:cstheme="minorEastAsia"/>
          <w:sz w:val="24"/>
        </w:rPr>
        <w:t>学校国家奖助学金评审工作领导小组（以下简称领导小组）的领导下，</w:t>
      </w:r>
      <w:r>
        <w:rPr>
          <w:rFonts w:hint="eastAsia" w:asciiTheme="minorEastAsia" w:hAnsiTheme="minorEastAsia" w:eastAsiaTheme="minorEastAsia" w:cstheme="minorEastAsia"/>
          <w:sz w:val="24"/>
          <w:lang w:eastAsia="zh-CN"/>
        </w:rPr>
        <w:t>结合我院实际情况，珠宝学院</w:t>
      </w:r>
      <w:r>
        <w:rPr>
          <w:rFonts w:hint="eastAsia" w:asciiTheme="minorEastAsia" w:hAnsiTheme="minorEastAsia" w:eastAsiaTheme="minorEastAsia" w:cstheme="minorEastAsia"/>
          <w:sz w:val="24"/>
        </w:rPr>
        <w:t>成立本科生国家奖学金评审委员会（以下简称评审委员会），负责本学院本科生国家奖学金和国家励志奖学金的评审工作。</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评审委员会由</w:t>
      </w:r>
      <w:r>
        <w:rPr>
          <w:rFonts w:hint="eastAsia" w:asciiTheme="minorEastAsia" w:hAnsiTheme="minorEastAsia" w:eastAsiaTheme="minorEastAsia" w:cstheme="minorEastAsia"/>
          <w:sz w:val="24"/>
          <w:lang w:eastAsia="zh-CN"/>
        </w:rPr>
        <w:t>本</w:t>
      </w:r>
      <w:r>
        <w:rPr>
          <w:rFonts w:hint="eastAsia" w:asciiTheme="minorEastAsia" w:hAnsiTheme="minorEastAsia" w:eastAsiaTheme="minorEastAsia" w:cstheme="minorEastAsia"/>
          <w:sz w:val="24"/>
        </w:rPr>
        <w:t>学院主要领导任主任委员，分管学生工作和本科生教学的领导、辅导员、班主任和学生代表（未申报当年度国家奖学金）任委员</w:t>
      </w:r>
      <w:r>
        <w:rPr>
          <w:rFonts w:hint="eastAsia" w:asciiTheme="minorEastAsia" w:hAnsiTheme="minorEastAsia" w:eastAsiaTheme="minorEastAsia" w:cstheme="minorEastAsia"/>
          <w:sz w:val="24"/>
          <w:lang w:eastAsia="zh-CN"/>
        </w:rPr>
        <w:t>负责本学院本科生国家励志奖学金的评审工作。</w:t>
      </w:r>
      <w:r>
        <w:rPr>
          <w:rFonts w:hint="eastAsia" w:asciiTheme="minorEastAsia" w:hAnsiTheme="minorEastAsia" w:eastAsiaTheme="minorEastAsia" w:cstheme="minorEastAsia"/>
          <w:sz w:val="24"/>
        </w:rPr>
        <w:t>学院评审委员会下设办公室，设在学工组，负责组织、协调本学院的评审工作，办公室主任由学工组长兼任。</w:t>
      </w:r>
    </w:p>
    <w:p>
      <w:pPr>
        <w:spacing w:line="360" w:lineRule="auto"/>
        <w:ind w:firstLine="480" w:firstLineChars="200"/>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rPr>
        <w:t>评审委员会名单</w:t>
      </w:r>
      <w:r>
        <w:rPr>
          <w:rFonts w:hint="eastAsia" w:asciiTheme="minorEastAsia" w:hAnsiTheme="minorEastAsia" w:cstheme="minorEastAsia"/>
          <w:sz w:val="24"/>
          <w:highlight w:val="none"/>
          <w:lang w:eastAsia="zh-CN"/>
        </w:rPr>
        <w:t>将</w:t>
      </w:r>
      <w:r>
        <w:rPr>
          <w:rFonts w:hint="eastAsia" w:asciiTheme="minorEastAsia" w:hAnsiTheme="minorEastAsia" w:cstheme="minorEastAsia"/>
          <w:sz w:val="24"/>
          <w:highlight w:val="none"/>
        </w:rPr>
        <w:t>于评审前向全院公布。</w:t>
      </w:r>
    </w:p>
    <w:p>
      <w:pPr>
        <w:adjustRightInd/>
        <w:snapToGrid/>
        <w:spacing w:line="360" w:lineRule="auto"/>
        <w:ind w:firstLine="482" w:firstLineChars="200"/>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lang w:eastAsia="zh-CN"/>
        </w:rPr>
        <w:t>第七条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lang w:eastAsia="zh-CN"/>
        </w:rPr>
        <w:t>评审委员会成员，应遵循以下工作要求：</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（一）严格按照评审标准和规定程序认真审阅材料，听取其他评审委员的意见，提出中肯的评审意见。</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（二）发现与评审对象存在直系亲属关系、直接经济利益关系或有其他可能影响评审工作的情形，应当主动向评审委员会申请回避。</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（三）受理评奖过程中的争议事项，接收申诉和组织复议。</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（四）不得利用评审委员的特殊身份和影响力，单独或与有关人员共同为评审对象获奖提供便利。</w:t>
      </w:r>
    </w:p>
    <w:p>
      <w:pPr>
        <w:adjustRightInd/>
        <w:snapToGrid/>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（五）严格遵守保密规定，不得擅自披露评审结果、其他评审委员的意见和相关的保密信息。</w:t>
      </w:r>
    </w:p>
    <w:p>
      <w:pPr>
        <w:adjustRightInd/>
        <w:snapToGrid/>
        <w:spacing w:line="360" w:lineRule="auto"/>
        <w:jc w:val="center"/>
        <w:rPr>
          <w:rFonts w:hint="eastAsia" w:asciiTheme="minorEastAsia" w:hAnsiTheme="minorEastAsia" w:eastAsiaTheme="minorEastAsia" w:cstheme="minorEastAsia"/>
          <w:b/>
          <w:sz w:val="28"/>
        </w:rPr>
      </w:pPr>
      <w:r>
        <w:rPr>
          <w:rFonts w:hint="eastAsia" w:asciiTheme="minorEastAsia" w:hAnsiTheme="minorEastAsia" w:eastAsiaTheme="minorEastAsia" w:cstheme="minorEastAsia"/>
          <w:b/>
          <w:sz w:val="28"/>
        </w:rPr>
        <w:t>第</w:t>
      </w:r>
      <w:r>
        <w:rPr>
          <w:rFonts w:hint="eastAsia" w:asciiTheme="minorEastAsia" w:hAnsiTheme="minorEastAsia" w:eastAsiaTheme="minorEastAsia" w:cstheme="minorEastAsia"/>
          <w:b/>
          <w:sz w:val="28"/>
          <w:lang w:eastAsia="zh-CN"/>
        </w:rPr>
        <w:t>五</w:t>
      </w:r>
      <w:r>
        <w:rPr>
          <w:rFonts w:hint="eastAsia" w:asciiTheme="minorEastAsia" w:hAnsiTheme="minorEastAsia" w:eastAsiaTheme="minorEastAsia" w:cstheme="minorEastAsia"/>
          <w:b/>
          <w:sz w:val="28"/>
        </w:rPr>
        <w:t>章  评审程序及要求</w:t>
      </w:r>
    </w:p>
    <w:p>
      <w:pPr>
        <w:adjustRightInd/>
        <w:snapToGrid/>
        <w:spacing w:line="360" w:lineRule="auto"/>
        <w:ind w:firstLine="482"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sz w:val="24"/>
          <w:lang w:eastAsia="zh-CN"/>
        </w:rPr>
        <w:t>第八条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highlight w:val="none"/>
          <w:lang w:val="en-US" w:eastAsia="zh-CN"/>
        </w:rPr>
        <w:t>学院接到学校评审通知后，凡符合申请条件的本科生均可在规定时间内向本学院提出申请（具体申请方式详见本年度通知）。</w:t>
      </w:r>
    </w:p>
    <w:p>
      <w:pPr>
        <w:adjustRightInd/>
        <w:snapToGrid/>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lang w:eastAsia="zh-CN"/>
        </w:rPr>
        <w:t>第九条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珠宝</w:t>
      </w:r>
      <w:r>
        <w:rPr>
          <w:rFonts w:hint="eastAsia" w:asciiTheme="minorEastAsia" w:hAnsiTheme="minorEastAsia" w:eastAsiaTheme="minorEastAsia" w:cstheme="minorEastAsia"/>
          <w:sz w:val="24"/>
        </w:rPr>
        <w:t>学院评审委员会组织评审并按照学校下达名额确定本学院拟推荐学生名单，在全院范围内公示3个工作日，无异议后将推荐学生名单和学院评审工作报告报送至领导小组办公室。</w:t>
      </w:r>
    </w:p>
    <w:p>
      <w:pPr>
        <w:adjustRightInd/>
        <w:snapToGrid/>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lang w:eastAsia="zh-CN"/>
        </w:rPr>
        <w:t>第十条</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领导小组办公室汇总整理各学院上报的推荐名单及相关材料，提出评审意见，形成评审报告，报领导小组研究审定后，在校内进行5个工作日的公示。公示无异议后，评选结果立即生效。</w:t>
      </w:r>
    </w:p>
    <w:p>
      <w:pPr>
        <w:adjustRightInd/>
        <w:snapToGrid/>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lang w:eastAsia="zh-CN"/>
        </w:rPr>
        <w:t>第十一条</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对本科生国家励志奖学金评审结果有异议的学生，</w:t>
      </w:r>
      <w:r>
        <w:rPr>
          <w:rFonts w:hint="eastAsia" w:asciiTheme="minorEastAsia" w:hAnsiTheme="minorEastAsia" w:eastAsiaTheme="minorEastAsia" w:cstheme="minorEastAsia"/>
          <w:sz w:val="24"/>
          <w:lang w:eastAsia="zh-CN"/>
        </w:rPr>
        <w:t>请</w:t>
      </w:r>
      <w:r>
        <w:rPr>
          <w:rFonts w:hint="eastAsia" w:asciiTheme="minorEastAsia" w:hAnsiTheme="minorEastAsia" w:eastAsiaTheme="minorEastAsia" w:cstheme="minorEastAsia"/>
          <w:sz w:val="24"/>
        </w:rPr>
        <w:t>在学院公示阶段向所在学院评审委员会提出申诉，学院评审委员会应及时研究并予以答复。如学生对学院作出的答复仍存在异议，</w:t>
      </w:r>
      <w:r>
        <w:rPr>
          <w:rFonts w:hint="eastAsia" w:asciiTheme="minorEastAsia" w:hAnsiTheme="minorEastAsia" w:eastAsiaTheme="minorEastAsia" w:cstheme="minorEastAsia"/>
          <w:sz w:val="24"/>
          <w:lang w:eastAsia="zh-CN"/>
        </w:rPr>
        <w:t>请</w:t>
      </w:r>
      <w:r>
        <w:rPr>
          <w:rFonts w:hint="eastAsia" w:asciiTheme="minorEastAsia" w:hAnsiTheme="minorEastAsia" w:eastAsiaTheme="minorEastAsia" w:cstheme="minorEastAsia"/>
          <w:sz w:val="24"/>
        </w:rPr>
        <w:t>在学校公示阶段向学校国家奖助学金评审工作领导小组提请裁决。</w:t>
      </w:r>
    </w:p>
    <w:p>
      <w:pPr>
        <w:adjustRightInd/>
        <w:snapToGrid/>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lang w:eastAsia="zh-CN"/>
        </w:rPr>
        <w:t>第十二</w:t>
      </w:r>
      <w:bookmarkStart w:id="0" w:name="_GoBack"/>
      <w:bookmarkEnd w:id="0"/>
      <w:r>
        <w:rPr>
          <w:rFonts w:hint="eastAsia" w:asciiTheme="minorEastAsia" w:hAnsiTheme="minorEastAsia" w:eastAsiaTheme="minorEastAsia" w:cstheme="minorEastAsia"/>
          <w:b/>
          <w:bCs/>
          <w:sz w:val="24"/>
          <w:lang w:eastAsia="zh-CN"/>
        </w:rPr>
        <w:t>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lang w:eastAsia="zh-CN"/>
        </w:rPr>
        <w:t>细则最终解释权归中国地质大学</w:t>
      </w:r>
      <w:r>
        <w:rPr>
          <w:rFonts w:hint="default"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lang w:val="en-US" w:eastAsia="zh-CN"/>
        </w:rPr>
        <w:t>北京</w:t>
      </w:r>
      <w:r>
        <w:rPr>
          <w:rFonts w:hint="default"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lang w:eastAsia="zh-CN"/>
        </w:rPr>
        <w:t>珠宝学院所有</w:t>
      </w:r>
      <w:r>
        <w:rPr>
          <w:rFonts w:hint="eastAsia" w:asciiTheme="minorEastAsia" w:hAnsiTheme="minorEastAsia" w:eastAsiaTheme="minorEastAsia" w:cstheme="minorEastAsia"/>
          <w:sz w:val="24"/>
        </w:rPr>
        <w:t>。</w:t>
      </w:r>
    </w:p>
    <w:p>
      <w:pPr>
        <w:adjustRightInd/>
        <w:snapToGrid/>
        <w:spacing w:line="360" w:lineRule="auto"/>
        <w:ind w:firstLine="480" w:firstLineChars="200"/>
        <w:jc w:val="righ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珠宝学院</w:t>
      </w:r>
    </w:p>
    <w:p>
      <w:pPr>
        <w:adjustRightInd/>
        <w:snapToGrid/>
        <w:spacing w:line="360" w:lineRule="auto"/>
        <w:ind w:firstLine="480" w:firstLineChars="200"/>
        <w:jc w:val="righ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2021年9月2日</w:t>
      </w:r>
    </w:p>
    <w:p>
      <w:pPr>
        <w:spacing w:line="570" w:lineRule="exact"/>
        <w:ind w:firstLine="640" w:firstLineChars="200"/>
        <w:rPr>
          <w:rFonts w:hint="eastAsia" w:ascii="仿宋_GB2312" w:eastAsia="仿宋_GB2312"/>
          <w:sz w:val="32"/>
          <w:szCs w:val="32"/>
        </w:rPr>
      </w:pPr>
    </w:p>
    <w:p>
      <w:pPr>
        <w:spacing w:line="570" w:lineRule="exact"/>
        <w:ind w:firstLine="640" w:firstLineChars="200"/>
        <w:rPr>
          <w:rFonts w:hint="eastAsia" w:ascii="仿宋_GB2312" w:eastAsia="仿宋_GB2312"/>
          <w:sz w:val="32"/>
          <w:szCs w:val="32"/>
        </w:rPr>
      </w:pPr>
    </w:p>
    <w:p>
      <w:pPr>
        <w:tabs>
          <w:tab w:val="clear" w:pos="0"/>
        </w:tabs>
      </w:pPr>
    </w:p>
    <w:sectPr>
      <w:footerReference r:id="rId5" w:type="default"/>
      <w:footerReference r:id="rId6" w:type="even"/>
      <w:pgSz w:w="11906" w:h="16838"/>
      <w:pgMar w:top="2041" w:right="1531" w:bottom="2041" w:left="1531" w:header="851" w:footer="1701" w:gutter="0"/>
      <w:cols w:space="72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0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92" w:leftChars="140" w:right="392" w:rightChars="140"/>
      <w:rPr>
        <w:rStyle w:val="8"/>
        <w:rFonts w:hint="eastAsia" w:ascii="宋体" w:hAnsi="宋体"/>
        <w:sz w:val="28"/>
      </w:rPr>
    </w:pPr>
    <w:r>
      <w:rPr>
        <w:rStyle w:val="8"/>
        <w:rFonts w:hint="eastAsia" w:ascii="仿宋_GB2312"/>
        <w:sz w:val="24"/>
      </w:rPr>
      <w:t xml:space="preserve">— </w:t>
    </w:r>
    <w:r>
      <w:rPr>
        <w:rFonts w:ascii="宋体" w:hAnsi="宋体"/>
        <w:sz w:val="24"/>
      </w:rPr>
      <w:fldChar w:fldCharType="begin"/>
    </w:r>
    <w:r>
      <w:rPr>
        <w:rStyle w:val="8"/>
        <w:rFonts w:ascii="宋体" w:hAnsi="宋体"/>
        <w:sz w:val="24"/>
      </w:rPr>
      <w:instrText xml:space="preserve">PAGE  </w:instrText>
    </w:r>
    <w:r>
      <w:rPr>
        <w:rFonts w:ascii="宋体" w:hAnsi="宋体"/>
        <w:sz w:val="24"/>
      </w:rPr>
      <w:fldChar w:fldCharType="separate"/>
    </w:r>
    <w:r>
      <w:rPr>
        <w:rStyle w:val="8"/>
        <w:rFonts w:ascii="宋体" w:hAnsi="宋体"/>
        <w:sz w:val="24"/>
        <w:lang w:val="zh-CN" w:eastAsia="zh-CN"/>
      </w:rPr>
      <w:t>2</w:t>
    </w:r>
    <w:r>
      <w:rPr>
        <w:rFonts w:ascii="宋体" w:hAnsi="宋体"/>
        <w:sz w:val="24"/>
      </w:rPr>
      <w:fldChar w:fldCharType="end"/>
    </w:r>
    <w:r>
      <w:rPr>
        <w:rStyle w:val="8"/>
        <w:rFonts w:hint="eastAsia" w:ascii="仿宋_GB2312"/>
        <w:sz w:val="24"/>
      </w:rPr>
      <w:t xml:space="preserve"> —</w:t>
    </w:r>
  </w:p>
  <w:p>
    <w:pPr>
      <w:pStyle w:val="4"/>
      <w:framePr w:hSpace="227" w:wrap="around" w:vAnchor="page" w:hAnchor="page" w:x="1532" w:yAlign="top"/>
      <w:ind w:right="360" w:firstLine="360"/>
      <w:rPr>
        <w:rStyle w:val="8"/>
      </w:rPr>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86EF2"/>
    <w:rsid w:val="06A74822"/>
    <w:rsid w:val="0ABA1C27"/>
    <w:rsid w:val="1699539D"/>
    <w:rsid w:val="2AE32E4A"/>
    <w:rsid w:val="2B233AF3"/>
    <w:rsid w:val="32EE39FC"/>
    <w:rsid w:val="4B696008"/>
    <w:rsid w:val="545936FE"/>
    <w:rsid w:val="57BE25B1"/>
    <w:rsid w:val="58C25549"/>
    <w:rsid w:val="5B950C00"/>
    <w:rsid w:val="60A86204"/>
    <w:rsid w:val="60EF6622"/>
    <w:rsid w:val="696A73DC"/>
    <w:rsid w:val="6E3C5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tabs>
        <w:tab w:val="clear" w:pos="0"/>
      </w:tabs>
      <w:autoSpaceDE w:val="0"/>
      <w:autoSpaceDN w:val="0"/>
      <w:adjustRightInd/>
      <w:snapToGrid/>
      <w:spacing w:before="6" w:line="240" w:lineRule="auto"/>
      <w:ind w:right="19"/>
      <w:jc w:val="center"/>
      <w:outlineLvl w:val="0"/>
    </w:pPr>
    <w:rPr>
      <w:rFonts w:ascii="微软雅黑" w:hAnsi="微软雅黑" w:eastAsia="微软雅黑" w:cs="微软雅黑"/>
      <w:kern w:val="0"/>
      <w:sz w:val="36"/>
      <w:szCs w:val="36"/>
      <w:lang w:val="zh-CN" w:bidi="zh-CN"/>
    </w:rPr>
  </w:style>
  <w:style w:type="character" w:default="1" w:styleId="6">
    <w:name w:val="Default Paragraph Font"/>
    <w:link w:val="7"/>
    <w:qFormat/>
    <w:uiPriority w:val="0"/>
    <w:rPr>
      <w:rFonts w:hAnsi="宋体"/>
      <w:color w:val="000000"/>
      <w:sz w:val="21"/>
      <w:lang w:bidi="he-IL"/>
    </w:rPr>
  </w:style>
  <w:style w:type="table" w:default="1" w:styleId="5">
    <w:name w:val="Normal Table"/>
    <w:qFormat/>
    <w:uiPriority w:val="0"/>
    <w:tblPr>
      <w:tblCellMar>
        <w:top w:w="0" w:type="dxa"/>
        <w:left w:w="108" w:type="dxa"/>
        <w:bottom w:w="0" w:type="dxa"/>
        <w:right w:w="108" w:type="dxa"/>
      </w:tblCellMar>
    </w:tblPr>
  </w:style>
  <w:style w:type="paragraph" w:styleId="3">
    <w:name w:val="Body Text"/>
    <w:basedOn w:val="1"/>
    <w:qFormat/>
    <w:uiPriority w:val="0"/>
    <w:pPr>
      <w:spacing w:line="640" w:lineRule="atLeast"/>
    </w:pPr>
    <w:rPr>
      <w:rFonts w:eastAsia="仿宋_GB2312"/>
      <w:sz w:val="32"/>
    </w:rPr>
  </w:style>
  <w:style w:type="paragraph" w:styleId="4">
    <w:name w:val="footer"/>
    <w:basedOn w:val="1"/>
    <w:qFormat/>
    <w:uiPriority w:val="0"/>
    <w:pPr>
      <w:tabs>
        <w:tab w:val="clear" w:pos="0"/>
      </w:tabs>
      <w:jc w:val="left"/>
    </w:pPr>
    <w:rPr>
      <w:sz w:val="18"/>
      <w:szCs w:val="18"/>
    </w:rPr>
  </w:style>
  <w:style w:type="paragraph" w:customStyle="1" w:styleId="7">
    <w:name w:val="Char"/>
    <w:basedOn w:val="1"/>
    <w:link w:val="6"/>
    <w:qFormat/>
    <w:uiPriority w:val="0"/>
    <w:pPr>
      <w:widowControl/>
      <w:tabs>
        <w:tab w:val="clear" w:pos="0"/>
      </w:tabs>
      <w:adjustRightInd/>
      <w:snapToGrid/>
      <w:spacing w:line="240" w:lineRule="auto"/>
      <w:ind w:firstLine="420" w:firstLineChars="200"/>
      <w:jc w:val="left"/>
    </w:pPr>
    <w:rPr>
      <w:rFonts w:hAnsi="宋体"/>
      <w:color w:val="000000"/>
      <w:sz w:val="21"/>
      <w:lang w:bidi="he-IL"/>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1664</Words>
  <Characters>1680</Characters>
  <Paragraphs>50</Paragraphs>
  <TotalTime>0</TotalTime>
  <ScaleCrop>false</ScaleCrop>
  <LinksUpToDate>false</LinksUpToDate>
  <CharactersWithSpaces>1780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2020-10-01T10:26:00Z</dcterms:created>
  <dc:creator>樱桃的iPad</dc:creator>
  <cp:lastModifiedBy>dell</cp:lastModifiedBy>
  <dcterms:modified xsi:type="dcterms:W3CDTF">2021-09-02T08:22:40Z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0F163161B93E4C08B79C7193EEB07B57</vt:lpwstr>
  </property>
</Properties>
</file>